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0C" w:rsidRPr="00AE7BBB" w:rsidRDefault="00AC550C" w:rsidP="00AC550C">
      <w:pPr>
        <w:pStyle w:val="11"/>
        <w:keepNext/>
        <w:keepLines/>
        <w:shd w:val="clear" w:color="auto" w:fill="auto"/>
        <w:spacing w:after="0"/>
        <w:jc w:val="right"/>
        <w:rPr>
          <w:sz w:val="20"/>
          <w:szCs w:val="20"/>
        </w:rPr>
      </w:pPr>
      <w:r w:rsidRPr="00AE7BBB">
        <w:rPr>
          <w:sz w:val="20"/>
          <w:szCs w:val="20"/>
        </w:rPr>
        <w:t>Приложение № 1</w:t>
      </w:r>
    </w:p>
    <w:p w:rsidR="00AC550C" w:rsidRPr="00AE7BBB" w:rsidRDefault="00AC550C" w:rsidP="00AC550C">
      <w:pPr>
        <w:pStyle w:val="a3"/>
        <w:jc w:val="right"/>
        <w:rPr>
          <w:sz w:val="20"/>
        </w:rPr>
      </w:pPr>
      <w:r w:rsidRPr="00AE7BBB">
        <w:rPr>
          <w:sz w:val="20"/>
        </w:rPr>
        <w:t xml:space="preserve">К протоколу заседания Совета директоров </w:t>
      </w:r>
    </w:p>
    <w:p w:rsidR="00AC550C" w:rsidRPr="00AE7BBB" w:rsidRDefault="00DE6D8C" w:rsidP="00AC550C">
      <w:pPr>
        <w:pStyle w:val="a3"/>
        <w:jc w:val="right"/>
        <w:rPr>
          <w:sz w:val="20"/>
        </w:rPr>
      </w:pPr>
      <w:r w:rsidRPr="00AE7BBB">
        <w:rPr>
          <w:sz w:val="20"/>
        </w:rPr>
        <w:t>А</w:t>
      </w:r>
      <w:r w:rsidR="00AC550C" w:rsidRPr="00AE7BBB">
        <w:rPr>
          <w:sz w:val="20"/>
        </w:rPr>
        <w:t>кционерного общества «</w:t>
      </w:r>
      <w:proofErr w:type="spellStart"/>
      <w:r w:rsidR="00AC550C" w:rsidRPr="00AE7BBB">
        <w:rPr>
          <w:sz w:val="20"/>
        </w:rPr>
        <w:t>Байкалруда</w:t>
      </w:r>
      <w:proofErr w:type="spellEnd"/>
      <w:r w:rsidR="00AC550C" w:rsidRPr="00AE7BBB">
        <w:rPr>
          <w:sz w:val="20"/>
        </w:rPr>
        <w:t xml:space="preserve">» </w:t>
      </w:r>
    </w:p>
    <w:p w:rsidR="00AC550C" w:rsidRPr="00AE7BBB" w:rsidRDefault="008631E5" w:rsidP="00AC550C">
      <w:pPr>
        <w:pStyle w:val="a3"/>
        <w:jc w:val="right"/>
        <w:rPr>
          <w:b/>
          <w:iCs/>
          <w:sz w:val="20"/>
        </w:rPr>
      </w:pPr>
      <w:r w:rsidRPr="00AE7BBB">
        <w:rPr>
          <w:sz w:val="20"/>
        </w:rPr>
        <w:t>от 04.10</w:t>
      </w:r>
      <w:r w:rsidR="00AC550C" w:rsidRPr="00AE7BBB">
        <w:rPr>
          <w:sz w:val="20"/>
        </w:rPr>
        <w:t>.201</w:t>
      </w:r>
      <w:r w:rsidR="00DE6D8C" w:rsidRPr="00AE7BBB">
        <w:rPr>
          <w:sz w:val="20"/>
        </w:rPr>
        <w:t>7</w:t>
      </w:r>
      <w:r w:rsidR="00AC550C" w:rsidRPr="00AE7BBB">
        <w:rPr>
          <w:sz w:val="20"/>
        </w:rPr>
        <w:t xml:space="preserve"> № б/н</w:t>
      </w:r>
    </w:p>
    <w:p w:rsidR="00A755BB" w:rsidRPr="0066743A" w:rsidRDefault="00A755BB" w:rsidP="0058231A">
      <w:pPr>
        <w:pStyle w:val="a3"/>
        <w:jc w:val="center"/>
        <w:rPr>
          <w:b/>
          <w:iCs/>
          <w:sz w:val="22"/>
          <w:szCs w:val="22"/>
        </w:rPr>
      </w:pPr>
      <w:r w:rsidRPr="0066743A">
        <w:rPr>
          <w:b/>
          <w:iCs/>
          <w:sz w:val="22"/>
          <w:szCs w:val="22"/>
        </w:rPr>
        <w:t xml:space="preserve">Бюллетень </w:t>
      </w:r>
    </w:p>
    <w:p w:rsidR="00A755BB" w:rsidRPr="0066743A" w:rsidRDefault="00A755BB" w:rsidP="0058231A">
      <w:pPr>
        <w:pStyle w:val="a3"/>
        <w:jc w:val="center"/>
        <w:rPr>
          <w:b/>
          <w:bCs/>
          <w:iCs/>
          <w:sz w:val="18"/>
          <w:szCs w:val="22"/>
        </w:rPr>
      </w:pPr>
      <w:r w:rsidRPr="0066743A">
        <w:rPr>
          <w:b/>
          <w:bCs/>
          <w:iCs/>
          <w:sz w:val="18"/>
          <w:szCs w:val="22"/>
        </w:rPr>
        <w:t xml:space="preserve">для голосования на </w:t>
      </w:r>
      <w:r w:rsidR="00DE6D8C">
        <w:rPr>
          <w:b/>
          <w:bCs/>
          <w:iCs/>
          <w:sz w:val="18"/>
          <w:szCs w:val="22"/>
        </w:rPr>
        <w:t>внеочередном</w:t>
      </w:r>
      <w:r w:rsidRPr="0066743A">
        <w:rPr>
          <w:b/>
          <w:bCs/>
          <w:iCs/>
          <w:sz w:val="18"/>
          <w:szCs w:val="22"/>
        </w:rPr>
        <w:t xml:space="preserve"> общем собрании акционеров</w:t>
      </w:r>
    </w:p>
    <w:p w:rsidR="00A755BB" w:rsidRPr="0066743A" w:rsidRDefault="00A755BB" w:rsidP="0058231A">
      <w:pPr>
        <w:rPr>
          <w:sz w:val="6"/>
        </w:rPr>
      </w:pPr>
    </w:p>
    <w:tbl>
      <w:tblPr>
        <w:tblW w:w="109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11"/>
        <w:gridCol w:w="3159"/>
        <w:gridCol w:w="2024"/>
      </w:tblGrid>
      <w:tr w:rsidR="00A755BB" w:rsidRPr="0066743A" w:rsidTr="006E7443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b/>
                <w:sz w:val="16"/>
              </w:rPr>
            </w:pPr>
            <w:r w:rsidRPr="0066743A">
              <w:rPr>
                <w:sz w:val="16"/>
              </w:rPr>
              <w:t>Полное фирменное наименование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66743A" w:rsidRDefault="00DE6D8C" w:rsidP="002322CF">
            <w:pPr>
              <w:pStyle w:val="a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 w:rsidR="00A755BB" w:rsidRPr="0066743A">
              <w:rPr>
                <w:b/>
                <w:sz w:val="18"/>
              </w:rPr>
              <w:t>кционерное общество «</w:t>
            </w:r>
            <w:proofErr w:type="spellStart"/>
            <w:r w:rsidR="00A755BB" w:rsidRPr="0066743A">
              <w:rPr>
                <w:b/>
                <w:sz w:val="18"/>
              </w:rPr>
              <w:t>Байкалруда</w:t>
            </w:r>
            <w:proofErr w:type="spellEnd"/>
            <w:r w:rsidR="00A755BB" w:rsidRPr="0066743A">
              <w:rPr>
                <w:b/>
                <w:sz w:val="18"/>
              </w:rPr>
              <w:t>»</w:t>
            </w:r>
          </w:p>
        </w:tc>
      </w:tr>
      <w:tr w:rsidR="00A755BB" w:rsidRPr="0066743A" w:rsidTr="006E7443">
        <w:trPr>
          <w:trHeight w:val="275"/>
        </w:trPr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sz w:val="16"/>
              </w:rPr>
            </w:pPr>
            <w:r w:rsidRPr="0066743A">
              <w:rPr>
                <w:sz w:val="16"/>
              </w:rPr>
              <w:t>Место нахождения Общества: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A801FC" w:rsidRDefault="005545FE" w:rsidP="00A35482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Онот</w:t>
            </w:r>
            <w:proofErr w:type="spellEnd"/>
            <w:r>
              <w:rPr>
                <w:sz w:val="20"/>
              </w:rPr>
              <w:t xml:space="preserve">, </w:t>
            </w:r>
            <w:r w:rsidR="00A755BB" w:rsidRPr="00A801FC">
              <w:rPr>
                <w:sz w:val="20"/>
              </w:rPr>
              <w:t>Черемховского района Иркутской области</w:t>
            </w:r>
          </w:p>
        </w:tc>
      </w:tr>
      <w:tr w:rsidR="00D41803" w:rsidRPr="00180BB7" w:rsidTr="006E7443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D41803" w:rsidRPr="00180BB7" w:rsidRDefault="00D41803" w:rsidP="00A35482">
            <w:pPr>
              <w:pStyle w:val="a3"/>
              <w:jc w:val="left"/>
              <w:rPr>
                <w:b/>
                <w:sz w:val="16"/>
              </w:rPr>
            </w:pPr>
            <w:r w:rsidRPr="00180BB7">
              <w:rPr>
                <w:sz w:val="16"/>
              </w:rPr>
              <w:t>Форма проведения общего собрания акционеров: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D41803" w:rsidRPr="00180BB7" w:rsidRDefault="00D41803" w:rsidP="00A35482">
            <w:pPr>
              <w:pStyle w:val="a3"/>
              <w:spacing w:line="220" w:lineRule="exact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Заочное голосование</w:t>
            </w:r>
            <w:r w:rsidRPr="00180BB7">
              <w:rPr>
                <w:b/>
                <w:sz w:val="18"/>
              </w:rPr>
              <w:t xml:space="preserve"> </w:t>
            </w:r>
          </w:p>
          <w:p w:rsidR="00D41803" w:rsidRPr="00180BB7" w:rsidRDefault="00D41803" w:rsidP="00DE6D8C">
            <w:pPr>
              <w:pStyle w:val="a3"/>
              <w:spacing w:line="220" w:lineRule="exact"/>
              <w:jc w:val="center"/>
              <w:rPr>
                <w:b/>
                <w:i/>
                <w:sz w:val="20"/>
              </w:rPr>
            </w:pPr>
            <w:r w:rsidRPr="00180BB7">
              <w:rPr>
                <w:sz w:val="20"/>
              </w:rPr>
              <w:t xml:space="preserve"> </w:t>
            </w:r>
          </w:p>
        </w:tc>
      </w:tr>
      <w:tr w:rsidR="00A755BB" w:rsidRPr="00180BB7" w:rsidTr="006E7443">
        <w:trPr>
          <w:trHeight w:val="309"/>
        </w:trPr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6E7443" w:rsidP="00A35482">
            <w:pPr>
              <w:pStyle w:val="a3"/>
              <w:jc w:val="left"/>
              <w:rPr>
                <w:sz w:val="16"/>
              </w:rPr>
            </w:pPr>
            <w:r>
              <w:rPr>
                <w:sz w:val="16"/>
              </w:rPr>
              <w:t>Адрес, по которому могут предоставляется заполненные бюллетени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180BB7" w:rsidRDefault="00E34B30" w:rsidP="00DE6D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BB7">
              <w:rPr>
                <w:sz w:val="20"/>
                <w:szCs w:val="20"/>
              </w:rPr>
              <w:t xml:space="preserve">664025, г. Иркутск, ул. </w:t>
            </w:r>
            <w:r w:rsidR="00DE6D8C">
              <w:rPr>
                <w:sz w:val="20"/>
                <w:szCs w:val="20"/>
              </w:rPr>
              <w:t>5-й Армии, д. 29, оф. 612</w:t>
            </w:r>
          </w:p>
        </w:tc>
      </w:tr>
      <w:tr w:rsidR="00A755BB" w:rsidRPr="00180BB7" w:rsidTr="006E7443">
        <w:tc>
          <w:tcPr>
            <w:tcW w:w="3119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D41803" w:rsidP="00A35482">
            <w:pPr>
              <w:pStyle w:val="a3"/>
              <w:tabs>
                <w:tab w:val="left" w:pos="2885"/>
              </w:tabs>
              <w:spacing w:line="20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Дата окончания приема бюллетеней для голосования</w:t>
            </w:r>
          </w:p>
        </w:tc>
        <w:tc>
          <w:tcPr>
            <w:tcW w:w="2611" w:type="dxa"/>
            <w:tcMar>
              <w:left w:w="57" w:type="dxa"/>
              <w:right w:w="57" w:type="dxa"/>
            </w:tcMar>
            <w:vAlign w:val="center"/>
          </w:tcPr>
          <w:p w:rsidR="00A755BB" w:rsidRPr="00180BB7" w:rsidRDefault="008631E5" w:rsidP="008631E5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 w:rsidR="00D4180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</w:t>
            </w:r>
            <w:r w:rsidR="00D41803">
              <w:rPr>
                <w:b/>
                <w:sz w:val="16"/>
              </w:rPr>
              <w:t>0.2017</w:t>
            </w:r>
          </w:p>
        </w:tc>
        <w:tc>
          <w:tcPr>
            <w:tcW w:w="3159" w:type="dxa"/>
            <w:tcMar>
              <w:left w:w="57" w:type="dxa"/>
            </w:tcMar>
            <w:vAlign w:val="center"/>
          </w:tcPr>
          <w:p w:rsidR="00A755BB" w:rsidRPr="00180BB7" w:rsidRDefault="00A755BB" w:rsidP="00A35482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 w:rsidRPr="00180BB7">
              <w:rPr>
                <w:sz w:val="16"/>
              </w:rPr>
              <w:t>Дата составления списка лиц, имеющих право на участие в собрании</w:t>
            </w:r>
          </w:p>
        </w:tc>
        <w:tc>
          <w:tcPr>
            <w:tcW w:w="2024" w:type="dxa"/>
            <w:tcMar>
              <w:left w:w="57" w:type="dxa"/>
              <w:right w:w="28" w:type="dxa"/>
            </w:tcMar>
            <w:vAlign w:val="center"/>
          </w:tcPr>
          <w:p w:rsidR="00A755BB" w:rsidRPr="00180BB7" w:rsidRDefault="008631E5" w:rsidP="008631E5">
            <w:pPr>
              <w:pStyle w:val="a3"/>
              <w:spacing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0022EB" w:rsidRPr="00180BB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октября</w:t>
            </w:r>
            <w:r w:rsidR="00A755BB" w:rsidRPr="00180BB7">
              <w:rPr>
                <w:b/>
                <w:sz w:val="18"/>
              </w:rPr>
              <w:t xml:space="preserve"> 201</w:t>
            </w:r>
            <w:r w:rsidR="00D41803">
              <w:rPr>
                <w:b/>
                <w:sz w:val="18"/>
              </w:rPr>
              <w:t>7</w:t>
            </w:r>
            <w:r w:rsidR="00A755BB" w:rsidRPr="00180BB7">
              <w:rPr>
                <w:b/>
                <w:sz w:val="18"/>
              </w:rPr>
              <w:t xml:space="preserve"> г.</w:t>
            </w:r>
          </w:p>
        </w:tc>
      </w:tr>
    </w:tbl>
    <w:p w:rsidR="00A755BB" w:rsidRPr="00180BB7" w:rsidRDefault="00A755BB" w:rsidP="0058231A">
      <w:pPr>
        <w:pStyle w:val="a3"/>
        <w:jc w:val="center"/>
        <w:rPr>
          <w:b/>
          <w:sz w:val="6"/>
        </w:rPr>
      </w:pP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54"/>
        <w:gridCol w:w="850"/>
        <w:gridCol w:w="1050"/>
        <w:gridCol w:w="1122"/>
        <w:gridCol w:w="1939"/>
      </w:tblGrid>
      <w:tr w:rsidR="00A755BB" w:rsidRPr="00180BB7" w:rsidTr="006E7443">
        <w:trPr>
          <w:cantSplit/>
          <w:trHeight w:val="537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Ф.И.О. (наименование) акционера</w:t>
            </w:r>
          </w:p>
        </w:tc>
        <w:tc>
          <w:tcPr>
            <w:tcW w:w="4154" w:type="dxa"/>
            <w:vAlign w:val="center"/>
          </w:tcPr>
          <w:p w:rsidR="00A755BB" w:rsidRPr="00180BB7" w:rsidRDefault="00A755BB" w:rsidP="00612B08">
            <w:pPr>
              <w:pStyle w:val="a3"/>
              <w:jc w:val="center"/>
              <w:rPr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Рег. номер</w:t>
            </w:r>
          </w:p>
        </w:tc>
        <w:tc>
          <w:tcPr>
            <w:tcW w:w="10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122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Число </w:t>
            </w:r>
          </w:p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голосующих акций </w:t>
            </w:r>
          </w:p>
        </w:tc>
        <w:tc>
          <w:tcPr>
            <w:tcW w:w="1939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</w:tr>
    </w:tbl>
    <w:p w:rsidR="00A755BB" w:rsidRPr="00180BB7" w:rsidRDefault="00A755BB" w:rsidP="0058231A">
      <w:pPr>
        <w:pStyle w:val="a3"/>
        <w:rPr>
          <w:b/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6"/>
          <w:u w:val="single"/>
        </w:rPr>
      </w:pPr>
    </w:p>
    <w:p w:rsidR="00AE7BBB" w:rsidRPr="00AE7BBB" w:rsidRDefault="00A755BB" w:rsidP="00AE7BBB">
      <w:pPr>
        <w:jc w:val="both"/>
        <w:rPr>
          <w:sz w:val="16"/>
          <w:szCs w:val="16"/>
        </w:rPr>
      </w:pPr>
      <w:r w:rsidRPr="0066743A">
        <w:rPr>
          <w:b/>
          <w:sz w:val="20"/>
          <w:szCs w:val="20"/>
          <w:u w:val="single"/>
        </w:rPr>
        <w:t>Вопрос №</w:t>
      </w:r>
      <w:r w:rsidR="00D41803" w:rsidRPr="0066743A">
        <w:rPr>
          <w:b/>
          <w:sz w:val="20"/>
          <w:szCs w:val="20"/>
          <w:u w:val="single"/>
        </w:rPr>
        <w:t>1</w:t>
      </w:r>
      <w:r w:rsidR="00D41803" w:rsidRPr="0066743A">
        <w:rPr>
          <w:b/>
          <w:sz w:val="20"/>
          <w:szCs w:val="20"/>
        </w:rPr>
        <w:t>:</w:t>
      </w:r>
      <w:r w:rsidR="00D41803">
        <w:rPr>
          <w:b/>
          <w:sz w:val="20"/>
          <w:szCs w:val="20"/>
        </w:rPr>
        <w:t xml:space="preserve"> </w:t>
      </w:r>
      <w:r w:rsidR="00AE7BBB" w:rsidRPr="00AE7BBB">
        <w:rPr>
          <w:sz w:val="16"/>
          <w:szCs w:val="16"/>
        </w:rPr>
        <w:t>О даче согласия на заключение договора поручительства в обеспечение обязательств ООО «Байкальские минералы» по кредитному соглашению с Банком ВТБ (ПАО) как крупной сделки для Общества на следующих условиях:</w:t>
      </w:r>
    </w:p>
    <w:p w:rsidR="00AE7BBB" w:rsidRPr="00AE7BBB" w:rsidRDefault="00AE7BBB" w:rsidP="00AE7BBB">
      <w:pPr>
        <w:numPr>
          <w:ilvl w:val="0"/>
          <w:numId w:val="11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Сумма лимита выдачи по кредитной линии – 50 000 000,00 (Пятьдесят миллионов) рублей; </w:t>
      </w:r>
    </w:p>
    <w:p w:rsidR="00AE7BBB" w:rsidRPr="00AE7BBB" w:rsidRDefault="00AE7BBB" w:rsidP="00AE7BBB">
      <w:pPr>
        <w:numPr>
          <w:ilvl w:val="0"/>
          <w:numId w:val="11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Дата погашения – не позднее, чем через 1825 дней с даты заключения кредитного соглашения;</w:t>
      </w:r>
    </w:p>
    <w:p w:rsidR="00AE7BBB" w:rsidRPr="00AE7BBB" w:rsidRDefault="00AE7BBB" w:rsidP="00AE7BBB">
      <w:pPr>
        <w:numPr>
          <w:ilvl w:val="0"/>
          <w:numId w:val="11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Период использования – до 01.08.2018 г.;</w:t>
      </w:r>
    </w:p>
    <w:p w:rsidR="00AE7BBB" w:rsidRPr="00AE7BBB" w:rsidRDefault="00AE7BBB" w:rsidP="00AE7BBB">
      <w:pPr>
        <w:numPr>
          <w:ilvl w:val="0"/>
          <w:numId w:val="11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График погашения основного долга: ежемесячно, в первый рабочий день месяца, начиная с 7-го месяца с даты заключения сделки (1-ым месяцем является месяц, следующий за месяцем заключения сделки):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8"/>
      </w:tblGrid>
      <w:tr w:rsidR="00AE7BBB" w:rsidRPr="00AE7BBB" w:rsidTr="00AE7BBB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Месяц с даты заключения кредитного соглашения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График гашения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 xml:space="preserve">7-14 месяц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662 500,00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15-26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933 333,34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27-38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916 666,67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39-50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916 666,67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51-</w:t>
            </w:r>
            <w:r w:rsidRPr="00AE7BBB">
              <w:rPr>
                <w:sz w:val="16"/>
                <w:szCs w:val="16"/>
                <w:lang w:val="en-US"/>
              </w:rPr>
              <w:t>59</w:t>
            </w:r>
            <w:r w:rsidRPr="00AE7BBB">
              <w:rPr>
                <w:sz w:val="16"/>
                <w:szCs w:val="16"/>
              </w:rPr>
              <w:t xml:space="preserve">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1 150 000,00 рублей</w:t>
            </w:r>
          </w:p>
        </w:tc>
      </w:tr>
      <w:tr w:rsidR="00AE7BBB" w:rsidRPr="00AE7BBB" w:rsidTr="00AE7BBB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6</w:t>
            </w:r>
            <w:r w:rsidRPr="00AE7BBB">
              <w:rPr>
                <w:sz w:val="16"/>
                <w:szCs w:val="16"/>
                <w:lang w:val="en-US"/>
              </w:rPr>
              <w:t>0</w:t>
            </w:r>
            <w:r w:rsidRPr="00AE7BBB">
              <w:rPr>
                <w:sz w:val="16"/>
                <w:szCs w:val="16"/>
              </w:rPr>
              <w:t xml:space="preserve">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284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Остаток задолженности</w:t>
            </w:r>
          </w:p>
        </w:tc>
      </w:tr>
    </w:tbl>
    <w:p w:rsidR="00AE7BBB" w:rsidRPr="00AE7BBB" w:rsidRDefault="00AE7BBB" w:rsidP="00AE7BBB">
      <w:pPr>
        <w:numPr>
          <w:ilvl w:val="0"/>
          <w:numId w:val="12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Комиссия за обязательство – 0,2% годовых;</w:t>
      </w:r>
    </w:p>
    <w:p w:rsidR="00AE7BBB" w:rsidRPr="00AE7BBB" w:rsidRDefault="00AE7BBB" w:rsidP="00AE7BBB">
      <w:pPr>
        <w:numPr>
          <w:ilvl w:val="0"/>
          <w:numId w:val="12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Процентная ставка – льготная ставка кредитования 10,6% годовых;</w:t>
      </w:r>
    </w:p>
    <w:p w:rsidR="00AE7BBB" w:rsidRPr="00AE7BBB" w:rsidRDefault="00AE7BBB" w:rsidP="00AE7BBB">
      <w:pPr>
        <w:numPr>
          <w:ilvl w:val="0"/>
          <w:numId w:val="12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Кредитор вправе в одностороннем порядке увеличить размер процентной ставки на 1,78% годовых в случае выявления одного или нескольких из следующих оснований:</w:t>
      </w:r>
    </w:p>
    <w:p w:rsidR="00AE7BBB" w:rsidRPr="00AE7BBB" w:rsidRDefault="00AE7BBB" w:rsidP="00AE7BBB">
      <w:pPr>
        <w:numPr>
          <w:ilvl w:val="0"/>
          <w:numId w:val="15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выявление факта нецелевого использования обществом кредита;</w:t>
      </w:r>
    </w:p>
    <w:p w:rsidR="00AE7BBB" w:rsidRPr="00AE7BBB" w:rsidRDefault="00AE7BBB" w:rsidP="00AE7BBB">
      <w:pPr>
        <w:numPr>
          <w:ilvl w:val="0"/>
          <w:numId w:val="17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выявление факта несоответствия общества одному или нескольким требованиям Программы 674, изложенным в п. 17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</w:t>
      </w:r>
      <w:r w:rsidRPr="00AE7BBB">
        <w:rPr>
          <w:i/>
          <w:sz w:val="16"/>
          <w:szCs w:val="16"/>
        </w:rPr>
        <w:t>Программа 674 – Правила предоставления субсидий из федерального бюджета 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ставке, утвержденные Постановлением Правительства РФ №674 от 03.06.2017 г.</w:t>
      </w:r>
      <w:r w:rsidRPr="00AE7BBB">
        <w:rPr>
          <w:sz w:val="16"/>
          <w:szCs w:val="16"/>
        </w:rPr>
        <w:t>);</w:t>
      </w:r>
    </w:p>
    <w:p w:rsidR="00AE7BBB" w:rsidRPr="00AE7BBB" w:rsidRDefault="00AE7BBB" w:rsidP="00AE7BBB">
      <w:pPr>
        <w:numPr>
          <w:ilvl w:val="0"/>
          <w:numId w:val="15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прекращение действия Программы 674 / отмена Постановления Правительства Российской Федерации от 03.06.2017 № 674 «Об утверждении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ставке»;</w:t>
      </w:r>
    </w:p>
    <w:p w:rsidR="00AE7BBB" w:rsidRPr="00AE7BBB" w:rsidRDefault="00AE7BBB" w:rsidP="00AE7BBB">
      <w:pPr>
        <w:numPr>
          <w:ilvl w:val="0"/>
          <w:numId w:val="15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получение Банком официального письма Министерства финансов Российской Федерации/Министерства экономического развития Российской Федерации об отсутствии бюджетных ассигнований и лимитов бюджетных обязательств, на цели, предусмотренные Программой 674;</w:t>
      </w:r>
    </w:p>
    <w:p w:rsidR="00AE7BBB" w:rsidRPr="00AE7BBB" w:rsidRDefault="00AE7BBB" w:rsidP="00AE7BBB">
      <w:pPr>
        <w:numPr>
          <w:ilvl w:val="0"/>
          <w:numId w:val="15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получение Банком от Министерства экономического развития Российской Федерации уведомления об отказе в предоставлении субсидии по кредитному соглашению с заемщиком по обстоятельствам, зависящим от заемщика.</w:t>
      </w:r>
    </w:p>
    <w:p w:rsidR="00AE7BBB" w:rsidRPr="00AE7BBB" w:rsidRDefault="00AE7BBB" w:rsidP="00AE7BBB">
      <w:pPr>
        <w:numPr>
          <w:ilvl w:val="0"/>
          <w:numId w:val="13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Вне периода льготного кредитования Кредитор вправе в одностороннем порядке увеличить размер процентной ставки по Кредиту в случае увеличения следующих процентных индикаторов: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AE7BBB">
        <w:rPr>
          <w:sz w:val="16"/>
          <w:szCs w:val="16"/>
        </w:rPr>
        <w:t>Bloomberg</w:t>
      </w:r>
      <w:proofErr w:type="spellEnd"/>
      <w:r w:rsidRPr="00AE7BBB">
        <w:rPr>
          <w:sz w:val="16"/>
          <w:szCs w:val="16"/>
        </w:rPr>
        <w:t xml:space="preserve"> (код инструмента RREFKEYR </w:t>
      </w:r>
      <w:proofErr w:type="spellStart"/>
      <w:r w:rsidRPr="00AE7BBB">
        <w:rPr>
          <w:sz w:val="16"/>
          <w:szCs w:val="16"/>
        </w:rPr>
        <w:t>Index</w:t>
      </w:r>
      <w:proofErr w:type="spellEnd"/>
      <w:r w:rsidRPr="00AE7BBB">
        <w:rPr>
          <w:sz w:val="16"/>
          <w:szCs w:val="16"/>
        </w:rPr>
        <w:t xml:space="preserve">) и/или в системе </w:t>
      </w:r>
      <w:proofErr w:type="spellStart"/>
      <w:r w:rsidRPr="00AE7BBB">
        <w:rPr>
          <w:sz w:val="16"/>
          <w:szCs w:val="16"/>
        </w:rPr>
        <w:t>Reuters</w:t>
      </w:r>
      <w:proofErr w:type="spellEnd"/>
      <w:r w:rsidRPr="00AE7BBB">
        <w:rPr>
          <w:sz w:val="16"/>
          <w:szCs w:val="16"/>
        </w:rPr>
        <w:t xml:space="preserve"> (код инструмента RUKEYRATE=CBRF)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и/или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(www.cbr.ru). 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</w:t>
      </w:r>
    </w:p>
    <w:p w:rsidR="00AE7BBB" w:rsidRPr="00AE7BBB" w:rsidRDefault="00AE7BBB" w:rsidP="00AE7BBB">
      <w:p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- в первый Рабочий день месяца, следующего за месяцем, в котором была установлена процентная ставка по соглашению;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- в первый Рабочий день месяца, следующего за месяцем, в котором заключено дополнительное соглашение к соглашению, предусматривающее изменение процентной ставки по соглашению;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- в первый Рабочий день месяца, в котором было направлено последнее уведомление об изменении процентной ставки по соглашению.  </w:t>
      </w:r>
    </w:p>
    <w:p w:rsidR="00AE7BBB" w:rsidRPr="00AE7BBB" w:rsidRDefault="00AE7BBB" w:rsidP="00AE7BBB">
      <w:p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При одновременном увеличении </w:t>
      </w:r>
      <w:proofErr w:type="gramStart"/>
      <w:r w:rsidRPr="00AE7BBB">
        <w:rPr>
          <w:sz w:val="16"/>
          <w:szCs w:val="16"/>
        </w:rPr>
        <w:t>двух процентных</w:t>
      </w:r>
      <w:proofErr w:type="gramEnd"/>
      <w:r w:rsidRPr="00AE7BBB">
        <w:rPr>
          <w:sz w:val="16"/>
          <w:szCs w:val="16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AE7BBB" w:rsidRPr="00AE7BBB" w:rsidRDefault="00AE7BBB" w:rsidP="00AE7BBB">
      <w:pPr>
        <w:ind w:left="284" w:hanging="284"/>
        <w:jc w:val="both"/>
        <w:rPr>
          <w:sz w:val="16"/>
          <w:szCs w:val="16"/>
        </w:rPr>
      </w:pPr>
    </w:p>
    <w:p w:rsidR="00AE7BBB" w:rsidRPr="00AE7BBB" w:rsidRDefault="00AE7BBB" w:rsidP="00AE7BBB">
      <w:pPr>
        <w:numPr>
          <w:ilvl w:val="0"/>
          <w:numId w:val="14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Надбавка к процентной ставке за подержание кредитовых/дебетовых оборотов менее установленного размера – 1% годовых от средней суммы задолженности по основному долгу за период, в котором обязательство по поддержанию кредитовых/дебетовых оборотов было нарушено;</w:t>
      </w:r>
    </w:p>
    <w:p w:rsidR="00AE7BBB" w:rsidRPr="00AE7BBB" w:rsidRDefault="00AE7BBB" w:rsidP="00AE7BBB">
      <w:pPr>
        <w:numPr>
          <w:ilvl w:val="0"/>
          <w:numId w:val="14"/>
        </w:numPr>
        <w:tabs>
          <w:tab w:val="num" w:pos="284"/>
          <w:tab w:val="num" w:pos="709"/>
        </w:tabs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Штраф в размере 10 000,0 (Десять тысяч) рублей за невыполнение или ненадлежащее выполнение «финансовых </w:t>
      </w:r>
      <w:proofErr w:type="spellStart"/>
      <w:r w:rsidRPr="00AE7BBB">
        <w:rPr>
          <w:sz w:val="16"/>
          <w:szCs w:val="16"/>
        </w:rPr>
        <w:t>ковенант</w:t>
      </w:r>
      <w:proofErr w:type="spellEnd"/>
      <w:r w:rsidRPr="00AE7BBB">
        <w:rPr>
          <w:sz w:val="16"/>
          <w:szCs w:val="16"/>
        </w:rPr>
        <w:t>» и других обязательств, предусмотренных кредитным соглашением;</w:t>
      </w:r>
    </w:p>
    <w:p w:rsidR="00AE7BBB" w:rsidRPr="00AE7BBB" w:rsidRDefault="00AE7BBB" w:rsidP="00AE7BBB">
      <w:pPr>
        <w:numPr>
          <w:ilvl w:val="0"/>
          <w:numId w:val="14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Неустойка в размере не более 0,04 (ноль целых четыре сотых) процента от суммы просроченной задолженности по основному долгу за каждый день просрочки;</w:t>
      </w:r>
    </w:p>
    <w:p w:rsidR="00AE7BBB" w:rsidRPr="00AE7BBB" w:rsidRDefault="00AE7BBB" w:rsidP="00AE7BBB">
      <w:pPr>
        <w:numPr>
          <w:ilvl w:val="0"/>
          <w:numId w:val="14"/>
        </w:numPr>
        <w:ind w:left="284" w:hanging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Неустойка в размере не более 0,08 (ноль целых восемь сотых) процента от суммы просроченной задолженности по процентам и/или комиссиям по кредиту за каждый день просрочки;</w:t>
      </w:r>
    </w:p>
    <w:p w:rsidR="00AE7BBB" w:rsidRPr="00AE7BBB" w:rsidRDefault="00AE7BBB" w:rsidP="00AE7BBB">
      <w:pPr>
        <w:numPr>
          <w:ilvl w:val="0"/>
          <w:numId w:val="14"/>
        </w:numPr>
        <w:ind w:left="284" w:hanging="284"/>
        <w:jc w:val="both"/>
        <w:rPr>
          <w:b/>
          <w:sz w:val="16"/>
          <w:szCs w:val="16"/>
        </w:rPr>
      </w:pPr>
      <w:r w:rsidRPr="00AE7BBB">
        <w:rPr>
          <w:sz w:val="16"/>
          <w:szCs w:val="16"/>
        </w:rPr>
        <w:t>Иные комиссии, надбавки к процентной ставке, санкции (неустойки, штрафы, пени и т.д.), предусмотренные кредитным соглашением.</w:t>
      </w:r>
    </w:p>
    <w:p w:rsidR="00592F13" w:rsidRPr="00592F13" w:rsidRDefault="00592F13" w:rsidP="00AE7BBB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671"/>
      </w:tblGrid>
      <w:tr w:rsidR="00A755BB" w:rsidRPr="00592F13" w:rsidTr="00592F13">
        <w:trPr>
          <w:trHeight w:val="305"/>
        </w:trPr>
        <w:tc>
          <w:tcPr>
            <w:tcW w:w="2352" w:type="dxa"/>
          </w:tcPr>
          <w:p w:rsidR="00A755BB" w:rsidRPr="006E7443" w:rsidRDefault="00A755BB" w:rsidP="00E463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8671" w:type="dxa"/>
            <w:tcBorders>
              <w:top w:val="nil"/>
              <w:bottom w:val="nil"/>
              <w:right w:val="nil"/>
            </w:tcBorders>
          </w:tcPr>
          <w:p w:rsidR="00A755BB" w:rsidRPr="00592F13" w:rsidRDefault="00A755BB" w:rsidP="00E463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592F13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AE7BBB" w:rsidRPr="00AE7BBB" w:rsidRDefault="00A755BB" w:rsidP="00AE7BBB">
      <w:pPr>
        <w:jc w:val="both"/>
        <w:rPr>
          <w:sz w:val="16"/>
          <w:szCs w:val="16"/>
        </w:rPr>
      </w:pPr>
      <w:r w:rsidRPr="00592F13">
        <w:rPr>
          <w:b/>
          <w:sz w:val="16"/>
          <w:szCs w:val="16"/>
        </w:rPr>
        <w:t xml:space="preserve">Формулировка решения по вопросу: </w:t>
      </w:r>
      <w:r w:rsidR="008D56CE" w:rsidRPr="008D56CE">
        <w:rPr>
          <w:sz w:val="16"/>
          <w:szCs w:val="16"/>
        </w:rPr>
        <w:t>Дать</w:t>
      </w:r>
      <w:r w:rsidR="008631E5" w:rsidRPr="00592F13">
        <w:rPr>
          <w:sz w:val="16"/>
          <w:szCs w:val="16"/>
        </w:rPr>
        <w:t xml:space="preserve"> согласи</w:t>
      </w:r>
      <w:r w:rsidR="0038723B">
        <w:rPr>
          <w:sz w:val="16"/>
          <w:szCs w:val="16"/>
        </w:rPr>
        <w:t>е</w:t>
      </w:r>
      <w:r w:rsidR="008631E5" w:rsidRPr="00592F13">
        <w:rPr>
          <w:sz w:val="16"/>
          <w:szCs w:val="16"/>
        </w:rPr>
        <w:t xml:space="preserve"> </w:t>
      </w:r>
      <w:r w:rsidR="00AE7BBB" w:rsidRPr="00AE7BBB">
        <w:rPr>
          <w:sz w:val="16"/>
          <w:szCs w:val="16"/>
        </w:rPr>
        <w:t>на заключение договора поручительства в обеспечение обязательств ООО «Байкальские минералы» по кредитному соглашению с Банком ВТБ (ПАО) как крупной сделки для Общества на следующих условиях:</w:t>
      </w:r>
    </w:p>
    <w:p w:rsidR="00AE7BBB" w:rsidRPr="00AE7BBB" w:rsidRDefault="00AE7BBB" w:rsidP="00AE7BB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Сумма лимита выдачи по кредитной линии – 50 000 000,00 (Пятьдесят миллионов) рублей; </w:t>
      </w:r>
    </w:p>
    <w:p w:rsidR="00AE7BBB" w:rsidRPr="00AE7BBB" w:rsidRDefault="00AE7BBB" w:rsidP="00AE7BB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Дата погашения – не позднее, чем через 1825 дней с даты заключения кредитного соглашения;</w:t>
      </w:r>
    </w:p>
    <w:p w:rsidR="00AE7BBB" w:rsidRPr="00AE7BBB" w:rsidRDefault="00AE7BBB" w:rsidP="00AE7BB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lastRenderedPageBreak/>
        <w:t>Период использования – до 01.08.2018 г.;</w:t>
      </w:r>
    </w:p>
    <w:p w:rsidR="00AE7BBB" w:rsidRPr="00AE7BBB" w:rsidRDefault="00AE7BBB" w:rsidP="00AE7BB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График погашения основного долга: ежемесячно, в первый рабочий день месяца, начиная с 7-го месяца с даты заключения сделки (1-ым месяцем является месяц, следующий за месяцем заключения сделки):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662"/>
      </w:tblGrid>
      <w:tr w:rsidR="00AE7BBB" w:rsidRPr="00AE7BBB" w:rsidTr="00AE7BBB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Месяц с даты заключения кредитного соглашения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График гашения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 xml:space="preserve">7-14 месяц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662 500,00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15-26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933 333,34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27-38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916 666,67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39-50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916 666,67 рублей</w:t>
            </w:r>
          </w:p>
        </w:tc>
      </w:tr>
      <w:tr w:rsidR="00AE7BBB" w:rsidRPr="00AE7BBB" w:rsidTr="00AE7BB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51-</w:t>
            </w:r>
            <w:r w:rsidRPr="00AE7BBB">
              <w:rPr>
                <w:sz w:val="16"/>
                <w:szCs w:val="16"/>
                <w:lang w:val="en-US"/>
              </w:rPr>
              <w:t>59</w:t>
            </w:r>
            <w:r w:rsidRPr="00AE7BBB">
              <w:rPr>
                <w:sz w:val="16"/>
                <w:szCs w:val="16"/>
              </w:rPr>
              <w:t xml:space="preserve">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ежемесячно равными долями по 1 150 000,00 рублей</w:t>
            </w:r>
          </w:p>
        </w:tc>
      </w:tr>
      <w:tr w:rsidR="00AE7BBB" w:rsidRPr="00AE7BBB" w:rsidTr="00AE7BBB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6</w:t>
            </w:r>
            <w:r w:rsidRPr="00AE7BBB">
              <w:rPr>
                <w:sz w:val="16"/>
                <w:szCs w:val="16"/>
                <w:lang w:val="en-US"/>
              </w:rPr>
              <w:t>0</w:t>
            </w:r>
            <w:r w:rsidRPr="00AE7BBB">
              <w:rPr>
                <w:sz w:val="16"/>
                <w:szCs w:val="16"/>
              </w:rPr>
              <w:t xml:space="preserve"> месяц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BB" w:rsidRPr="00AE7BBB" w:rsidRDefault="00AE7BBB" w:rsidP="00AE7BBB">
            <w:pPr>
              <w:ind w:left="284" w:hanging="360"/>
              <w:jc w:val="both"/>
              <w:rPr>
                <w:sz w:val="16"/>
                <w:szCs w:val="16"/>
              </w:rPr>
            </w:pPr>
            <w:r w:rsidRPr="00AE7BBB">
              <w:rPr>
                <w:sz w:val="16"/>
                <w:szCs w:val="16"/>
              </w:rPr>
              <w:t>Остаток задолженности</w:t>
            </w:r>
          </w:p>
        </w:tc>
      </w:tr>
    </w:tbl>
    <w:p w:rsidR="00AE7BBB" w:rsidRPr="00AE7BBB" w:rsidRDefault="00AE7BBB" w:rsidP="00AE7BBB">
      <w:pPr>
        <w:numPr>
          <w:ilvl w:val="0"/>
          <w:numId w:val="12"/>
        </w:numPr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Комиссия за обязательство – 0,2% годовых;</w:t>
      </w:r>
    </w:p>
    <w:p w:rsidR="00AE7BBB" w:rsidRPr="00AE7BBB" w:rsidRDefault="00AE7BBB" w:rsidP="00AE7BBB">
      <w:pPr>
        <w:numPr>
          <w:ilvl w:val="0"/>
          <w:numId w:val="12"/>
        </w:numPr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Процентная ставка – льготная ставка кредитования 10,6% годовых;</w:t>
      </w:r>
    </w:p>
    <w:p w:rsidR="00AE7BBB" w:rsidRPr="00AE7BBB" w:rsidRDefault="00AE7BBB" w:rsidP="00AE7BB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Кредитор вправе в одностороннем порядке увеличить размер процентной ставки на 1,78% годовых в случае выявления одного или нескольких из следующих оснований:</w:t>
      </w:r>
    </w:p>
    <w:p w:rsidR="00AE7BBB" w:rsidRPr="00AE7BBB" w:rsidRDefault="00AE7BBB" w:rsidP="00AE7BBB">
      <w:pPr>
        <w:numPr>
          <w:ilvl w:val="0"/>
          <w:numId w:val="15"/>
        </w:numPr>
        <w:tabs>
          <w:tab w:val="left" w:pos="284"/>
        </w:tabs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выявление факта нецелевого использования обществом кредита;</w:t>
      </w:r>
    </w:p>
    <w:p w:rsidR="00AE7BBB" w:rsidRPr="00AE7BBB" w:rsidRDefault="00AE7BBB" w:rsidP="00AE7BBB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выявление факта несоответствия общества одному или нескольким требованиям Программы 674, изложенным в п. 17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</w:t>
      </w:r>
      <w:r w:rsidRPr="00AE7BBB">
        <w:rPr>
          <w:i/>
          <w:sz w:val="16"/>
          <w:szCs w:val="16"/>
        </w:rPr>
        <w:t>Программа 674 – Правила предоставления субсидий из федерального бюджета 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ставке, утвержденные Постановлением Правительства РФ №674 от 03.06.2017 г.</w:t>
      </w:r>
      <w:r w:rsidRPr="00AE7BBB">
        <w:rPr>
          <w:sz w:val="16"/>
          <w:szCs w:val="16"/>
        </w:rPr>
        <w:t>);</w:t>
      </w:r>
    </w:p>
    <w:p w:rsidR="00AE7BBB" w:rsidRPr="00AE7BBB" w:rsidRDefault="00AE7BBB" w:rsidP="00AE7BB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прекращение действия Программы 674 / отмена Постановления Правительства Российской Федерации от 03.06.2017 № 674 «Об утверждении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ставке»;</w:t>
      </w:r>
    </w:p>
    <w:p w:rsidR="00AE7BBB" w:rsidRPr="00AE7BBB" w:rsidRDefault="00AE7BBB" w:rsidP="00AE7BB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получение Банком официального письма Министерства финансов Российской Федерации/Министерства экономического развития Российской Федерации об отсутствии бюджетных ассигнований и лимитов бюджетных обязательств, на цели, предусмотренные Программой 674;</w:t>
      </w:r>
    </w:p>
    <w:p w:rsidR="00AE7BBB" w:rsidRPr="00AE7BBB" w:rsidRDefault="00AE7BBB" w:rsidP="00AE7BBB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получение Банком от Министерства экономического развития Российской Федерации уведомления об отказе в предоставлении субсидии по кредитному соглашению с заемщиком по обстоятельствам, зависящим от заемщика.</w:t>
      </w:r>
    </w:p>
    <w:p w:rsidR="00AE7BBB" w:rsidRPr="00AE7BBB" w:rsidRDefault="00AE7BBB" w:rsidP="00AE7BBB">
      <w:pPr>
        <w:numPr>
          <w:ilvl w:val="0"/>
          <w:numId w:val="13"/>
        </w:num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E7BBB">
        <w:rPr>
          <w:sz w:val="16"/>
          <w:szCs w:val="16"/>
        </w:rPr>
        <w:t>Вне периода льготного кредитования Кредитор вправе в одностороннем порядке увеличить размер процентной ставки по Кредиту в случае увеличения следующих процентных индикаторов: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а) ключевой </w:t>
      </w:r>
      <w:proofErr w:type="gramStart"/>
      <w:r w:rsidRPr="00AE7BBB">
        <w:rPr>
          <w:sz w:val="16"/>
          <w:szCs w:val="16"/>
        </w:rPr>
        <w:t>ставки  Банка</w:t>
      </w:r>
      <w:proofErr w:type="gramEnd"/>
      <w:r w:rsidRPr="00AE7BBB">
        <w:rPr>
          <w:sz w:val="16"/>
          <w:szCs w:val="16"/>
        </w:rPr>
        <w:t xml:space="preserve"> России, публикуемой на официальном сайте Банка России в сети Интернет  (www.cbr.ru) и/или в системе </w:t>
      </w:r>
      <w:proofErr w:type="spellStart"/>
      <w:r w:rsidRPr="00AE7BBB">
        <w:rPr>
          <w:sz w:val="16"/>
          <w:szCs w:val="16"/>
        </w:rPr>
        <w:t>Bloomberg</w:t>
      </w:r>
      <w:proofErr w:type="spellEnd"/>
      <w:r w:rsidRPr="00AE7BBB">
        <w:rPr>
          <w:sz w:val="16"/>
          <w:szCs w:val="16"/>
        </w:rPr>
        <w:t xml:space="preserve"> (код инструмента RREFKEYR </w:t>
      </w:r>
      <w:proofErr w:type="spellStart"/>
      <w:r w:rsidRPr="00AE7BBB">
        <w:rPr>
          <w:sz w:val="16"/>
          <w:szCs w:val="16"/>
        </w:rPr>
        <w:t>Index</w:t>
      </w:r>
      <w:proofErr w:type="spellEnd"/>
      <w:r w:rsidRPr="00AE7BBB">
        <w:rPr>
          <w:sz w:val="16"/>
          <w:szCs w:val="16"/>
        </w:rPr>
        <w:t xml:space="preserve">) и/или в системе </w:t>
      </w:r>
      <w:proofErr w:type="spellStart"/>
      <w:r w:rsidRPr="00AE7BBB">
        <w:rPr>
          <w:sz w:val="16"/>
          <w:szCs w:val="16"/>
        </w:rPr>
        <w:t>Reuters</w:t>
      </w:r>
      <w:proofErr w:type="spellEnd"/>
      <w:r w:rsidRPr="00AE7BBB">
        <w:rPr>
          <w:sz w:val="16"/>
          <w:szCs w:val="16"/>
        </w:rPr>
        <w:t xml:space="preserve"> (код инструмента RUKEYRATE=CBRF)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и/или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(www.cbr.ru). 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</w:t>
      </w:r>
    </w:p>
    <w:p w:rsidR="00AE7BBB" w:rsidRPr="00AE7BBB" w:rsidRDefault="00AE7BBB" w:rsidP="00AE7BBB">
      <w:pPr>
        <w:jc w:val="both"/>
        <w:rPr>
          <w:sz w:val="16"/>
          <w:szCs w:val="16"/>
        </w:rPr>
      </w:pPr>
      <w:r w:rsidRPr="00AE7BBB">
        <w:rPr>
          <w:sz w:val="16"/>
          <w:szCs w:val="16"/>
        </w:rPr>
        <w:t>- в первый Рабочий день месяца, следующего за месяцем, в котором была установлена процентная ставка по соглашению;</w:t>
      </w:r>
    </w:p>
    <w:p w:rsidR="00AE7BBB" w:rsidRPr="00AE7BBB" w:rsidRDefault="00AE7BBB" w:rsidP="00AE7BBB">
      <w:pPr>
        <w:ind w:left="284" w:hanging="36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- в первый Рабочий день месяца, следующего за месяцем, в котором заключено дополнительное соглашение к соглашению, предусматривающее изменение процентной ставки по соглашению;</w:t>
      </w:r>
    </w:p>
    <w:p w:rsidR="00AE7BBB" w:rsidRPr="00AE7BBB" w:rsidRDefault="00AE7BBB" w:rsidP="00AE7BBB">
      <w:pPr>
        <w:ind w:left="284" w:hanging="36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- в первый Рабочий день месяца, в котором было направлено последнее уведомление об изменении процентной ставки по соглашению.  </w:t>
      </w:r>
    </w:p>
    <w:p w:rsidR="00AE7BBB" w:rsidRPr="00AE7BBB" w:rsidRDefault="00AE7BBB" w:rsidP="00AE7BBB">
      <w:pPr>
        <w:ind w:left="284" w:hanging="360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При одновременном увеличении двухпроцентных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AE7BBB" w:rsidRPr="00AE7BBB" w:rsidRDefault="00AE7BBB" w:rsidP="00AE7BBB">
      <w:pPr>
        <w:numPr>
          <w:ilvl w:val="0"/>
          <w:numId w:val="14"/>
        </w:numPr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Надбавка к процентной ставке за подержание кредитовых/дебетовых оборотов менее установленного размера – 1% годовых от средней суммы задолженности по основному долгу за период, в котором обязательство по поддержанию кредитовых/дебетовых оборотов было нарушено;</w:t>
      </w:r>
    </w:p>
    <w:p w:rsidR="00AE7BBB" w:rsidRPr="00AE7BBB" w:rsidRDefault="00AE7BBB" w:rsidP="00AE7BBB">
      <w:pPr>
        <w:numPr>
          <w:ilvl w:val="0"/>
          <w:numId w:val="14"/>
        </w:numPr>
        <w:tabs>
          <w:tab w:val="num" w:pos="284"/>
          <w:tab w:val="num" w:pos="360"/>
        </w:tabs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 xml:space="preserve">Штраф в размере 10 000,0 (Десять тысяч) рублей за невыполнение или ненадлежащее выполнение «финансовых </w:t>
      </w:r>
      <w:proofErr w:type="spellStart"/>
      <w:r w:rsidRPr="00AE7BBB">
        <w:rPr>
          <w:sz w:val="16"/>
          <w:szCs w:val="16"/>
        </w:rPr>
        <w:t>ковенант</w:t>
      </w:r>
      <w:proofErr w:type="spellEnd"/>
      <w:r w:rsidRPr="00AE7BBB">
        <w:rPr>
          <w:sz w:val="16"/>
          <w:szCs w:val="16"/>
        </w:rPr>
        <w:t>» и других обязательств, предусмотренных кредитным соглашением;</w:t>
      </w:r>
    </w:p>
    <w:p w:rsidR="00AE7BBB" w:rsidRPr="00AE7BBB" w:rsidRDefault="00AE7BBB" w:rsidP="00AE7BBB">
      <w:pPr>
        <w:numPr>
          <w:ilvl w:val="0"/>
          <w:numId w:val="14"/>
        </w:numPr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Неустойка в размере не более 0,04 (ноль целых четыре сотых) процента от суммы просроченной задолженности по основному долгу за каждый день просрочки;</w:t>
      </w:r>
    </w:p>
    <w:p w:rsidR="00AE7BBB" w:rsidRPr="00AE7BBB" w:rsidRDefault="00AE7BBB" w:rsidP="00AE7BBB">
      <w:pPr>
        <w:numPr>
          <w:ilvl w:val="0"/>
          <w:numId w:val="14"/>
        </w:numPr>
        <w:ind w:left="284"/>
        <w:jc w:val="both"/>
        <w:rPr>
          <w:sz w:val="16"/>
          <w:szCs w:val="16"/>
        </w:rPr>
      </w:pPr>
      <w:r w:rsidRPr="00AE7BBB">
        <w:rPr>
          <w:sz w:val="16"/>
          <w:szCs w:val="16"/>
        </w:rPr>
        <w:t>Неустойка в размере не более 0,08 (ноль целых восемь сотых) процента от суммы просроченной задолженности по процентам и/или комиссиям по кредиту за каждый день просрочки;</w:t>
      </w:r>
    </w:p>
    <w:p w:rsidR="00AE7BBB" w:rsidRPr="00AE7BBB" w:rsidRDefault="00AE7BBB" w:rsidP="00AE7BBB">
      <w:pPr>
        <w:numPr>
          <w:ilvl w:val="0"/>
          <w:numId w:val="14"/>
        </w:numPr>
        <w:ind w:left="284"/>
        <w:jc w:val="both"/>
        <w:rPr>
          <w:b/>
          <w:sz w:val="16"/>
          <w:szCs w:val="16"/>
        </w:rPr>
      </w:pPr>
      <w:r w:rsidRPr="00AE7BBB">
        <w:rPr>
          <w:sz w:val="16"/>
          <w:szCs w:val="16"/>
        </w:rPr>
        <w:t>Иные комиссии, надбавки к процентной ставке, санкции (неустойки, штрафы, пени и т.д.), предусмотренные кредитным соглашением.</w:t>
      </w:r>
    </w:p>
    <w:p w:rsidR="00D41803" w:rsidRPr="00592F13" w:rsidRDefault="00D41803" w:rsidP="008631E5">
      <w:pPr>
        <w:jc w:val="both"/>
        <w:rPr>
          <w:sz w:val="16"/>
          <w:szCs w:val="16"/>
        </w:rPr>
      </w:pPr>
    </w:p>
    <w:p w:rsidR="00A755BB" w:rsidRPr="0066743A" w:rsidRDefault="00A755BB" w:rsidP="00D41803">
      <w:pPr>
        <w:jc w:val="both"/>
        <w:rPr>
          <w:b/>
          <w:bCs/>
          <w:i/>
          <w:iCs/>
          <w:sz w:val="20"/>
        </w:rPr>
      </w:pPr>
      <w:r w:rsidRPr="0066743A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E46300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E46300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E46300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A755BB" w:rsidRPr="0066743A" w:rsidRDefault="00A755BB" w:rsidP="0058231A">
      <w:pPr>
        <w:pStyle w:val="3"/>
        <w:rPr>
          <w:sz w:val="20"/>
          <w:szCs w:val="20"/>
          <w:u w:val="single"/>
        </w:rPr>
      </w:pPr>
    </w:p>
    <w:p w:rsidR="000022EB" w:rsidRPr="00961C32" w:rsidRDefault="000022EB" w:rsidP="0058231A">
      <w:pPr>
        <w:jc w:val="both"/>
        <w:rPr>
          <w:b/>
          <w:i/>
          <w:sz w:val="20"/>
          <w:szCs w:val="20"/>
        </w:rPr>
      </w:pPr>
    </w:p>
    <w:p w:rsidR="00A755BB" w:rsidRPr="00961C32" w:rsidRDefault="00A755BB" w:rsidP="0058231A">
      <w:pPr>
        <w:pStyle w:val="a3"/>
        <w:rPr>
          <w:b/>
          <w:bCs/>
          <w:sz w:val="20"/>
        </w:rPr>
      </w:pPr>
      <w:r w:rsidRPr="00961C32">
        <w:rPr>
          <w:b/>
          <w:bCs/>
          <w:sz w:val="24"/>
        </w:rPr>
        <w:t>______________________________________</w:t>
      </w:r>
      <w:r w:rsidRPr="00961C32">
        <w:rPr>
          <w:b/>
          <w:bCs/>
          <w:sz w:val="24"/>
        </w:rPr>
        <w:tab/>
        <w:t>/</w:t>
      </w:r>
      <w:r w:rsidRPr="00961C32">
        <w:rPr>
          <w:b/>
          <w:sz w:val="20"/>
        </w:rPr>
        <w:t>_____________________________________________</w:t>
      </w:r>
      <w:r w:rsidRPr="00961C32">
        <w:rPr>
          <w:b/>
          <w:bCs/>
          <w:sz w:val="24"/>
        </w:rPr>
        <w:t>/</w:t>
      </w:r>
    </w:p>
    <w:p w:rsidR="00A755BB" w:rsidRPr="00961C32" w:rsidRDefault="00A755BB" w:rsidP="0058231A">
      <w:pPr>
        <w:pStyle w:val="a3"/>
        <w:ind w:firstLine="708"/>
        <w:rPr>
          <w:i/>
          <w:iCs/>
          <w:sz w:val="16"/>
        </w:rPr>
      </w:pPr>
      <w:r w:rsidRPr="00961C32">
        <w:rPr>
          <w:i/>
          <w:iCs/>
          <w:sz w:val="16"/>
        </w:rPr>
        <w:t xml:space="preserve">подпись акционера (представителя)                 </w:t>
      </w:r>
      <w:r w:rsidRPr="00961C32">
        <w:rPr>
          <w:i/>
          <w:iCs/>
          <w:sz w:val="16"/>
        </w:rPr>
        <w:tab/>
      </w:r>
      <w:r w:rsidRPr="00961C32">
        <w:rPr>
          <w:i/>
          <w:iCs/>
          <w:sz w:val="16"/>
        </w:rPr>
        <w:tab/>
        <w:t xml:space="preserve"> расшифровка подписи (Фамилия И.О.), должность (если бюллетень </w:t>
      </w:r>
    </w:p>
    <w:p w:rsidR="00A755BB" w:rsidRPr="0066743A" w:rsidRDefault="00A755BB" w:rsidP="0058231A">
      <w:pPr>
        <w:pStyle w:val="a3"/>
        <w:ind w:left="3540" w:firstLine="708"/>
        <w:rPr>
          <w:sz w:val="16"/>
        </w:rPr>
      </w:pPr>
      <w:r w:rsidRPr="00961C32">
        <w:rPr>
          <w:i/>
          <w:iCs/>
          <w:sz w:val="16"/>
        </w:rPr>
        <w:t>от имени акционера-юридического лица подписывает</w:t>
      </w:r>
      <w:r w:rsidRPr="0066743A">
        <w:rPr>
          <w:i/>
          <w:iCs/>
          <w:sz w:val="16"/>
        </w:rPr>
        <w:t xml:space="preserve">  единоличный исполнительный орган) </w:t>
      </w:r>
    </w:p>
    <w:p w:rsidR="00A755BB" w:rsidRPr="0066743A" w:rsidRDefault="00A755BB" w:rsidP="0058231A">
      <w:pPr>
        <w:pStyle w:val="a3"/>
        <w:ind w:left="-180" w:firstLine="180"/>
        <w:rPr>
          <w:b/>
          <w:bCs/>
          <w:sz w:val="18"/>
          <w:szCs w:val="18"/>
        </w:rPr>
      </w:pPr>
      <w:r w:rsidRPr="0066743A">
        <w:rPr>
          <w:b/>
          <w:bCs/>
          <w:sz w:val="18"/>
          <w:szCs w:val="18"/>
        </w:rPr>
        <w:t>Бюллетень обязательно должен быть подписан акционером (представителем).</w:t>
      </w:r>
    </w:p>
    <w:p w:rsidR="00A755BB" w:rsidRPr="0066743A" w:rsidRDefault="00A755BB" w:rsidP="0058231A">
      <w:pPr>
        <w:pStyle w:val="a3"/>
        <w:ind w:firstLine="360"/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Бюллетень считается недействительным, если он не подписан акционером (представителем), кроме этого, в бюллетени не засчитываются голоса по тем вопросам по которым: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невозможно определить волю акционера;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sz w:val="18"/>
        </w:rPr>
      </w:pPr>
      <w:r w:rsidRPr="0066743A">
        <w:rPr>
          <w:b/>
          <w:i/>
          <w:sz w:val="18"/>
          <w:u w:val="single"/>
        </w:rPr>
        <w:t>присутствуют исправления.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 xml:space="preserve">СООБЩЕНИЕ 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</w:t>
      </w:r>
      <w:proofErr w:type="spellStart"/>
      <w:r w:rsidRPr="0066743A">
        <w:rPr>
          <w:i/>
          <w:sz w:val="17"/>
          <w:szCs w:val="17"/>
        </w:rPr>
        <w:t>всоответствии</w:t>
      </w:r>
      <w:proofErr w:type="spellEnd"/>
      <w:r w:rsidRPr="0066743A">
        <w:rPr>
          <w:i/>
          <w:sz w:val="17"/>
          <w:szCs w:val="17"/>
        </w:rPr>
        <w:t xml:space="preserve">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A755BB" w:rsidRPr="0066743A" w:rsidRDefault="00A755BB" w:rsidP="00612B08">
      <w:pPr>
        <w:pStyle w:val="a3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A755BB" w:rsidRPr="0066743A" w:rsidSect="00592F13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E9A"/>
    <w:multiLevelType w:val="hybridMultilevel"/>
    <w:tmpl w:val="2B2E052E"/>
    <w:lvl w:ilvl="0" w:tplc="16E491C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BF6"/>
    <w:multiLevelType w:val="hybridMultilevel"/>
    <w:tmpl w:val="DBD4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31A4"/>
    <w:multiLevelType w:val="hybridMultilevel"/>
    <w:tmpl w:val="FC28300C"/>
    <w:lvl w:ilvl="0" w:tplc="CE60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82B"/>
    <w:multiLevelType w:val="hybridMultilevel"/>
    <w:tmpl w:val="5362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0C8"/>
    <w:multiLevelType w:val="hybridMultilevel"/>
    <w:tmpl w:val="A38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930"/>
    <w:multiLevelType w:val="hybridMultilevel"/>
    <w:tmpl w:val="C74AE450"/>
    <w:lvl w:ilvl="0" w:tplc="16E491CA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516E6"/>
    <w:multiLevelType w:val="hybridMultilevel"/>
    <w:tmpl w:val="907E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E605D7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47D1550F"/>
    <w:multiLevelType w:val="hybridMultilevel"/>
    <w:tmpl w:val="448C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F121D"/>
    <w:multiLevelType w:val="hybridMultilevel"/>
    <w:tmpl w:val="9F1EEF26"/>
    <w:lvl w:ilvl="0" w:tplc="146E3E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620E6F0E"/>
    <w:multiLevelType w:val="hybridMultilevel"/>
    <w:tmpl w:val="C6BEE996"/>
    <w:lvl w:ilvl="0" w:tplc="C50A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65292151"/>
    <w:multiLevelType w:val="hybridMultilevel"/>
    <w:tmpl w:val="B3F8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32BB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7B373642"/>
    <w:multiLevelType w:val="hybridMultilevel"/>
    <w:tmpl w:val="81A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F297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21"/>
    <w:rsid w:val="000022EB"/>
    <w:rsid w:val="00006604"/>
    <w:rsid w:val="000A2879"/>
    <w:rsid w:val="000A7479"/>
    <w:rsid w:val="001113B4"/>
    <w:rsid w:val="00137524"/>
    <w:rsid w:val="00156420"/>
    <w:rsid w:val="00174789"/>
    <w:rsid w:val="00180BB7"/>
    <w:rsid w:val="00181CF6"/>
    <w:rsid w:val="001910AF"/>
    <w:rsid w:val="00202F0D"/>
    <w:rsid w:val="00217C67"/>
    <w:rsid w:val="002213ED"/>
    <w:rsid w:val="002322CF"/>
    <w:rsid w:val="00280FFB"/>
    <w:rsid w:val="002C29A9"/>
    <w:rsid w:val="00370C21"/>
    <w:rsid w:val="00376984"/>
    <w:rsid w:val="0038723B"/>
    <w:rsid w:val="003A4458"/>
    <w:rsid w:val="003C20FB"/>
    <w:rsid w:val="003E0EA1"/>
    <w:rsid w:val="00406A9F"/>
    <w:rsid w:val="00420F75"/>
    <w:rsid w:val="00441C86"/>
    <w:rsid w:val="00442B7E"/>
    <w:rsid w:val="00451873"/>
    <w:rsid w:val="00490C38"/>
    <w:rsid w:val="004C6639"/>
    <w:rsid w:val="004D2399"/>
    <w:rsid w:val="004E4209"/>
    <w:rsid w:val="005441B7"/>
    <w:rsid w:val="00545D53"/>
    <w:rsid w:val="005545FE"/>
    <w:rsid w:val="005640F8"/>
    <w:rsid w:val="0058231A"/>
    <w:rsid w:val="00592F13"/>
    <w:rsid w:val="005C5FBD"/>
    <w:rsid w:val="00612B08"/>
    <w:rsid w:val="006352EC"/>
    <w:rsid w:val="00665D27"/>
    <w:rsid w:val="0066743A"/>
    <w:rsid w:val="00696CEB"/>
    <w:rsid w:val="006B03B5"/>
    <w:rsid w:val="006E7443"/>
    <w:rsid w:val="0070351B"/>
    <w:rsid w:val="0075126C"/>
    <w:rsid w:val="00773521"/>
    <w:rsid w:val="007916B6"/>
    <w:rsid w:val="007E4D3E"/>
    <w:rsid w:val="008631E5"/>
    <w:rsid w:val="008977B4"/>
    <w:rsid w:val="00897F69"/>
    <w:rsid w:val="008B248E"/>
    <w:rsid w:val="008D56CE"/>
    <w:rsid w:val="00901B87"/>
    <w:rsid w:val="009147EE"/>
    <w:rsid w:val="00961C32"/>
    <w:rsid w:val="00981D4D"/>
    <w:rsid w:val="009835F3"/>
    <w:rsid w:val="009F31C2"/>
    <w:rsid w:val="00A35482"/>
    <w:rsid w:val="00A641CF"/>
    <w:rsid w:val="00A755BB"/>
    <w:rsid w:val="00A801FC"/>
    <w:rsid w:val="00AC550C"/>
    <w:rsid w:val="00AE7BBB"/>
    <w:rsid w:val="00B71FAE"/>
    <w:rsid w:val="00C00F32"/>
    <w:rsid w:val="00C73FD0"/>
    <w:rsid w:val="00C8649B"/>
    <w:rsid w:val="00D1175F"/>
    <w:rsid w:val="00D31291"/>
    <w:rsid w:val="00D41803"/>
    <w:rsid w:val="00D86877"/>
    <w:rsid w:val="00DB1CC4"/>
    <w:rsid w:val="00DC209D"/>
    <w:rsid w:val="00DC6C81"/>
    <w:rsid w:val="00DE6D8C"/>
    <w:rsid w:val="00E16E2C"/>
    <w:rsid w:val="00E242CF"/>
    <w:rsid w:val="00E34B30"/>
    <w:rsid w:val="00E46300"/>
    <w:rsid w:val="00E67FAC"/>
    <w:rsid w:val="00EA696B"/>
    <w:rsid w:val="00EB0130"/>
    <w:rsid w:val="00EF0307"/>
    <w:rsid w:val="00EF384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6B5ED-AB4C-4780-88CF-886048E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231A"/>
    <w:pPr>
      <w:keepNext/>
      <w:outlineLvl w:val="1"/>
    </w:pPr>
    <w:rPr>
      <w:bCs/>
      <w:i/>
      <w:i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231A"/>
    <w:rPr>
      <w:rFonts w:ascii="Times New Roman" w:hAnsi="Times New Roman" w:cs="Times New Roman"/>
      <w:bCs/>
      <w:i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231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823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231A"/>
    <w:pPr>
      <w:jc w:val="both"/>
    </w:pPr>
    <w:rPr>
      <w:b/>
      <w:color w:val="000000"/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58231A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8231A"/>
    <w:pPr>
      <w:jc w:val="both"/>
    </w:pPr>
    <w:rPr>
      <w:b/>
      <w:sz w:val="22"/>
      <w:szCs w:val="22"/>
    </w:rPr>
  </w:style>
  <w:style w:type="character" w:customStyle="1" w:styleId="30">
    <w:name w:val="Основной текст 3 Знак"/>
    <w:link w:val="3"/>
    <w:uiPriority w:val="99"/>
    <w:locked/>
    <w:rsid w:val="0058231A"/>
    <w:rPr>
      <w:rFonts w:ascii="Times New Roman" w:hAnsi="Times New Roman" w:cs="Times New Roman"/>
      <w:b/>
      <w:lang w:eastAsia="ru-RU"/>
    </w:rPr>
  </w:style>
  <w:style w:type="paragraph" w:customStyle="1" w:styleId="1">
    <w:name w:val="Обычный1"/>
    <w:uiPriority w:val="99"/>
    <w:rsid w:val="007E4D3E"/>
    <w:pPr>
      <w:widowControl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7E4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AC55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550C"/>
    <w:pPr>
      <w:widowControl w:val="0"/>
      <w:shd w:val="clear" w:color="auto" w:fill="FFFFFF"/>
      <w:spacing w:after="240" w:line="324" w:lineRule="exact"/>
      <w:jc w:val="center"/>
      <w:outlineLvl w:val="0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92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Zavrazhnov</dc:creator>
  <cp:keywords/>
  <dc:description/>
  <cp:lastModifiedBy>Adm</cp:lastModifiedBy>
  <cp:revision>10</cp:revision>
  <cp:lastPrinted>2017-10-25T01:58:00Z</cp:lastPrinted>
  <dcterms:created xsi:type="dcterms:W3CDTF">2017-04-24T03:50:00Z</dcterms:created>
  <dcterms:modified xsi:type="dcterms:W3CDTF">2017-10-25T04:41:00Z</dcterms:modified>
</cp:coreProperties>
</file>